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„Fundacja Rodzinna – między nadzieją a rzeczywistością” tematem przewodnim jubileuszowego X Międzynarodowego Kongresu Firm Rodzinnych 20-21 marca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7 latach prac wewnętrznych, 3 latach od ogłoszenia Zielonej Księgi, dziś możemy realnie mówić o przededniu możliwości, jaką daje fundacja rodzinna. Ustawa podpisana 7 lutego przez Prezydenta RP oznacza rewolucyjne zmiany w prawie dotyczącym sukcesji - dlatego oczywisty stał się temat wiodący najbliższego wydarzenia Instytutu Biznesu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Ustawa budzi nadzieję na budowę firmy wielopokoleniowej. Tam, gdzie idzie nowe, buduje się też nowy rynek. Jesteśmy jako IBR w oczywisty sposób zaangażowani w pełen monitoring mediów oraz tego, jak komunikowana i promowana jest fundacja rodzinna przez tych, którzy chętni są ją tworzyć. A że wiele w tych obietnicach nadużyć, będziemy je konsekwentnie demaskować! Fundacji rodzinnej nie można spłycać wyłącznie do zabezpieczenia majątkowego i traktować jej tylko jak lokaty inwestycyjnej! </w:t>
      </w:r>
      <w:r>
        <w:rPr>
          <w:rFonts w:ascii="calibri" w:hAnsi="calibri" w:eastAsia="calibri" w:cs="calibri"/>
          <w:sz w:val="24"/>
          <w:szCs w:val="24"/>
        </w:rPr>
        <w:t xml:space="preserve">– wyjaśnia potrzebę zorganizowania Kongresu oraz tegoroczny temat przewodni dr Adrianna Lewandowska, Prezes Instytutu Biznesu Rodzinnego. Zarys obszaru tematycznego oraz agendy powstał podczas kreatywnego warsztatu z udziałem Ekspertów IBR, którzy nad wyzwaniami strategii i sukcesji na co dzień pracują z rodzinami właścicielskimi w procesach doradczych i do których właściciele firm rodzinnych przychodzą z pytaniami o fundację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Kongresu jest </w:t>
      </w:r>
      <w:r>
        <w:rPr>
          <w:rFonts w:ascii="calibri" w:hAnsi="calibri" w:eastAsia="calibri" w:cs="calibri"/>
          <w:sz w:val="24"/>
          <w:szCs w:val="24"/>
          <w:b/>
        </w:rPr>
        <w:t xml:space="preserve">Johannes Karcher</w:t>
      </w:r>
      <w:r>
        <w:rPr>
          <w:rFonts w:ascii="calibri" w:hAnsi="calibri" w:eastAsia="calibri" w:cs="calibri"/>
          <w:sz w:val="24"/>
          <w:szCs w:val="24"/>
        </w:rPr>
        <w:t xml:space="preserve"> – Prezes Rady Nadzorczej Karcher, syn założyciela firmy - Alfreda Karchera. Do prelekcji i dyskusji o fundacjach rodzinnych dołączą także: książę </w:t>
      </w:r>
      <w:r>
        <w:rPr>
          <w:rFonts w:ascii="calibri" w:hAnsi="calibri" w:eastAsia="calibri" w:cs="calibri"/>
          <w:sz w:val="24"/>
          <w:szCs w:val="24"/>
          <w:b/>
        </w:rPr>
        <w:t xml:space="preserve">Michael von Liechtenstein</w:t>
      </w:r>
      <w:r>
        <w:rPr>
          <w:rFonts w:ascii="calibri" w:hAnsi="calibri" w:eastAsia="calibri" w:cs="calibri"/>
          <w:sz w:val="24"/>
          <w:szCs w:val="24"/>
        </w:rPr>
        <w:t xml:space="preserve"> - Prezes Zarządu Industrie - und Finanzkontor Etablissement. Zaproszenie przyjęli także: </w:t>
      </w:r>
      <w:r>
        <w:rPr>
          <w:rFonts w:ascii="calibri" w:hAnsi="calibri" w:eastAsia="calibri" w:cs="calibri"/>
          <w:sz w:val="24"/>
          <w:szCs w:val="24"/>
          <w:b/>
        </w:rPr>
        <w:t xml:space="preserve">dr Adam Mokrysz</w:t>
      </w:r>
      <w:r>
        <w:rPr>
          <w:rFonts w:ascii="calibri" w:hAnsi="calibri" w:eastAsia="calibri" w:cs="calibri"/>
          <w:sz w:val="24"/>
          <w:szCs w:val="24"/>
        </w:rPr>
        <w:t xml:space="preserve"> (Mokate), </w:t>
      </w:r>
      <w:r>
        <w:rPr>
          <w:rFonts w:ascii="calibri" w:hAnsi="calibri" w:eastAsia="calibri" w:cs="calibri"/>
          <w:sz w:val="24"/>
          <w:szCs w:val="24"/>
          <w:b/>
        </w:rPr>
        <w:t xml:space="preserve">Ewald Raben</w:t>
      </w:r>
      <w:r>
        <w:rPr>
          <w:rFonts w:ascii="calibri" w:hAnsi="calibri" w:eastAsia="calibri" w:cs="calibri"/>
          <w:sz w:val="24"/>
          <w:szCs w:val="24"/>
        </w:rPr>
        <w:t xml:space="preserve"> (Grupa Raben), </w:t>
      </w:r>
      <w:r>
        <w:rPr>
          <w:rFonts w:ascii="calibri" w:hAnsi="calibri" w:eastAsia="calibri" w:cs="calibri"/>
          <w:sz w:val="24"/>
          <w:szCs w:val="24"/>
          <w:b/>
        </w:rPr>
        <w:t xml:space="preserve">Leszek Kaszuba</w:t>
      </w:r>
      <w:r>
        <w:rPr>
          <w:rFonts w:ascii="calibri" w:hAnsi="calibri" w:eastAsia="calibri" w:cs="calibri"/>
          <w:sz w:val="24"/>
          <w:szCs w:val="24"/>
        </w:rPr>
        <w:t xml:space="preserve"> (Jamalex), </w:t>
      </w:r>
      <w:r>
        <w:rPr>
          <w:rFonts w:ascii="calibri" w:hAnsi="calibri" w:eastAsia="calibri" w:cs="calibri"/>
          <w:sz w:val="24"/>
          <w:szCs w:val="24"/>
          <w:b/>
        </w:rPr>
        <w:t xml:space="preserve">Marcin Ochnik</w:t>
      </w:r>
      <w:r>
        <w:rPr>
          <w:rFonts w:ascii="calibri" w:hAnsi="calibri" w:eastAsia="calibri" w:cs="calibri"/>
          <w:sz w:val="24"/>
          <w:szCs w:val="24"/>
        </w:rPr>
        <w:t xml:space="preserve"> (Ochnik), </w:t>
      </w:r>
      <w:r>
        <w:rPr>
          <w:rFonts w:ascii="calibri" w:hAnsi="calibri" w:eastAsia="calibri" w:cs="calibri"/>
          <w:sz w:val="24"/>
          <w:szCs w:val="24"/>
          <w:b/>
        </w:rPr>
        <w:t xml:space="preserve">Rodzina Wypychewicz</w:t>
      </w:r>
      <w:r>
        <w:rPr>
          <w:rFonts w:ascii="calibri" w:hAnsi="calibri" w:eastAsia="calibri" w:cs="calibri"/>
          <w:sz w:val="24"/>
          <w:szCs w:val="24"/>
        </w:rPr>
        <w:t xml:space="preserve"> (ZPUE), </w:t>
      </w:r>
      <w:r>
        <w:rPr>
          <w:rFonts w:ascii="calibri" w:hAnsi="calibri" w:eastAsia="calibri" w:cs="calibri"/>
          <w:sz w:val="24"/>
          <w:szCs w:val="24"/>
          <w:b/>
        </w:rPr>
        <w:t xml:space="preserve">Filip Makowski</w:t>
      </w:r>
      <w:r>
        <w:rPr>
          <w:rFonts w:ascii="calibri" w:hAnsi="calibri" w:eastAsia="calibri" w:cs="calibri"/>
          <w:sz w:val="24"/>
          <w:szCs w:val="24"/>
        </w:rPr>
        <w:t xml:space="preserve"> (YORK),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Domarecki</w:t>
      </w:r>
      <w:r>
        <w:rPr>
          <w:rFonts w:ascii="calibri" w:hAnsi="calibri" w:eastAsia="calibri" w:cs="calibri"/>
          <w:sz w:val="24"/>
          <w:szCs w:val="24"/>
        </w:rPr>
        <w:t xml:space="preserve"> (Selena). Przedsiębiorcy będą rozmawiali m.in. o: radach nadzorczych, sukcesji i budowaniu struktur korporacyjnych w firmie rodzinnej, inwestycjach, aktualnych wyzwaniach w rozwoju, ścieżce rozwoju sukcesora, współpracy z kadrą managerską spoza rodziny oraz sukcesji zewnątrzrodzinnej, komunikacji w sytuacjach trudnych i kryzysowych, obszarach ESG. Podczas Kongresu Instytut przyzna także coroczną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„Firma Rodzinna Roku” </w:t>
      </w:r>
      <w:r>
        <w:rPr>
          <w:rFonts w:ascii="calibri" w:hAnsi="calibri" w:eastAsia="calibri" w:cs="calibri"/>
          <w:sz w:val="24"/>
          <w:szCs w:val="24"/>
        </w:rPr>
        <w:t xml:space="preserve">dla przedsiębiorstw szczególnie zaangażowanych i odpowiedzialnych społecznie.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od dekady spotyka się w Poznaniu w gronie polskich i zagranicznych rodzin biznesowych i firm rodzinnych, by rozmawiać o profesjonalizacji i dążeniu do długowieczności. Trudno uwierzyć, że tegoroczna edycja to edycja jubileuszowa. 10 lat spotkań i 10 edycji to łącznie 20 dni pełnych wrażeń, merytoryki i spotkań, łącznie 200 unikalnych prelegentów i łącznie ponad 2500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Kongres Firm Rodzinnych to wydarzenie nieszablonowe nie tylko z uwagi na prelegentów i uczestników, jakich przyciąga. Instytut Biznesu Rodzinnego proponuje udział w interaktywnym spotkaniu: w trakcie wystąpień gości z Polski i zagranicy: przedsiębiorców rodzinnych, a także ekspertów i praktyków biznesowych, uczestnicy zasiądą </w:t>
      </w:r>
      <w:r>
        <w:rPr>
          <w:rFonts w:ascii="calibri" w:hAnsi="calibri" w:eastAsia="calibri" w:cs="calibri"/>
          <w:sz w:val="24"/>
          <w:szCs w:val="24"/>
          <w:b/>
        </w:rPr>
        <w:t xml:space="preserve">przy okrągłych stołach dyskusyjnych</w:t>
      </w:r>
      <w:r>
        <w:rPr>
          <w:rFonts w:ascii="calibri" w:hAnsi="calibri" w:eastAsia="calibri" w:cs="calibri"/>
          <w:sz w:val="24"/>
          <w:szCs w:val="24"/>
        </w:rPr>
        <w:t xml:space="preserve">. Po prelekcji będzie czas na moderowaną przez Ekspertów Instytutu Biznesu Rodzinnego (m.in. </w:t>
      </w:r>
      <w:r>
        <w:rPr>
          <w:rFonts w:ascii="calibri" w:hAnsi="calibri" w:eastAsia="calibri" w:cs="calibri"/>
          <w:sz w:val="24"/>
          <w:szCs w:val="24"/>
          <w:b/>
        </w:rPr>
        <w:t xml:space="preserve">Szymona Trzebiatowskiego, Romana Wieczorka, Katarzynę Barcińską, Michała Gniatkowskiego, Grażynę Marciniak, Wiesławę Machalicę, Iwonę Rostkowską, Annę Bielak – Dworską, Alicję Hadryś i Ewę Więcek-Janka</w:t>
      </w:r>
      <w:r>
        <w:rPr>
          <w:rFonts w:ascii="calibri" w:hAnsi="calibri" w:eastAsia="calibri" w:cs="calibri"/>
          <w:sz w:val="24"/>
          <w:szCs w:val="24"/>
        </w:rPr>
        <w:t xml:space="preserve">) rozmowę i wymianę poglądów z pozostałymi uczestnikami Kongresu - taka forma wydarzenia sprzyja integracji oraz umożliwia gorącą dyskusję w gronie „błyskotliwych umysłów” - przedsiębiorców. Ponadto uczestnicy będą mieli możliwość indywidualnych konsultacji z Ekspertami IBR w obszarach związanych z budowaniem wielopokoleniowej firmy rodzinnej. Z wydarzenia każdy wyjedzie z własną, częściowo samodzielnie napisaną książką „FUNDACJA RODZINNA – W KIERUNKU DŁUGOWIECZNOŚCI” i odpowiedzią na pytanie: Czy fundacja rodzinna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to centrum usług edukacyjnych i doradczych dla rodzin biznesowych. Celem działalności jest profesjonalizacja polskich przedsiębiorstw rodzinnych, m.in. w planach SUKCESJI i przygotowywaniu dobrej zmiany pokoleniowej. Skupia się nie tylko na przetrwaniu firmy do kolejnego pokolenia, ale również na zapewnieniu równowagi w rodzinie biznesowej, by ta mogła rozwijać i przekazywać gen przedsiębiorczości. Eksperci IBR są specjalistami w sukcesji, strategii międzypokoleniowej, moderują prace nad konstytucjami firm rodzinnych, są mentorami dla kolejnego pokolenia wzmacniając ich kompetencje przywódcze. IBR szerzy wiedzę, dobre praktyki, organizuje badania naukowe i publikuje wyniki, ma własne wydawnictwo. Jest organizatorem Akademii Sukcesora - programu managerskiego dla przyszłych kadr zarządzających firmą rodzinną, Międzynarodowego Kongresu Firm Rodzinnych, Family Business Week oraz Kongresu Next Generation.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2026-02-12T03:57:04+01:00</dcterms:created>
  <dcterms:modified xsi:type="dcterms:W3CDTF">2026-02-12T03:57:04+01:00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